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67C9" w14:textId="258C1CCA" w:rsidR="00AB01DE" w:rsidRDefault="00AB01DE" w:rsidP="00AB01DE">
      <w:pPr>
        <w:rPr>
          <w:rFonts w:eastAsia="Aptos"/>
          <w:highlight w:val="yellow"/>
        </w:rPr>
      </w:pPr>
      <w:r>
        <w:rPr>
          <w:rFonts w:eastAsia="Aptos"/>
          <w:noProof/>
        </w:rPr>
        <w:drawing>
          <wp:inline distT="0" distB="0" distL="0" distR="0" wp14:anchorId="0B393472" wp14:editId="52117C41">
            <wp:extent cx="3468218" cy="775411"/>
            <wp:effectExtent l="0" t="0" r="0" b="5715"/>
            <wp:docPr id="52367592" name="Picture 1" descr="A black and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7592" name="Picture 1" descr="A black and pink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018" cy="78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38D18032" w:rsidR="00801515" w:rsidRPr="00100236" w:rsidRDefault="002927D2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 w:rsidRPr="002927D2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 Sargeant &amp; Son Funeral Directors</w:t>
      </w:r>
      <w:r w:rsidRPr="002927D2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18137F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093C20" w:rsidRPr="00093C20">
        <w:rPr>
          <w:rFonts w:eastAsia="Aptos" w:cstheme="minorHAnsi"/>
          <w:b/>
          <w:bCs/>
          <w:color w:val="auto"/>
          <w:sz w:val="24"/>
          <w:szCs w:val="24"/>
        </w:rPr>
        <w:t xml:space="preserve">E Sargeant &amp; Son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7490A3B7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093C20" w:rsidRPr="00093C20">
        <w:rPr>
          <w:rFonts w:eastAsia="Aptos" w:cstheme="minorHAnsi"/>
        </w:rPr>
        <w:t>E Sargeant &amp; Son</w:t>
      </w:r>
      <w:r w:rsidR="00093C20" w:rsidRPr="00093C20">
        <w:rPr>
          <w:rFonts w:eastAsia="Aptos" w:cstheme="minorHAnsi"/>
        </w:rPr>
        <w:t xml:space="preserve"> </w:t>
      </w:r>
      <w:r w:rsidRPr="00093C20">
        <w:rPr>
          <w:rFonts w:eastAsia="Aptos" w:cstheme="minorHAnsi"/>
        </w:rPr>
        <w:t>Community Fund to help fund</w:t>
      </w:r>
      <w:r w:rsidRPr="00100236">
        <w:rPr>
          <w:rFonts w:eastAsia="Aptos" w:cstheme="minorHAnsi"/>
        </w:rPr>
        <w:t xml:space="preserve">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093C20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3E774D" w:rsidRPr="003E774D">
        <w:rPr>
          <w:rFonts w:eastAsia="Aptos" w:cstheme="minorHAnsi"/>
        </w:rPr>
        <w:t xml:space="preserve">E Sargeant &amp; Son Funeral Directors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504A443D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r w:rsidR="00947C8A" w:rsidRPr="00947C8A">
        <w:rPr>
          <w:rFonts w:eastAsia="Aptos" w:cstheme="minorHAnsi"/>
        </w:rPr>
        <w:t>www.esargeant.co.uk</w:t>
      </w:r>
      <w:r w:rsidR="00947C8A" w:rsidRPr="00947C8A">
        <w:rPr>
          <w:rFonts w:eastAsia="Aptos" w:cstheme="minorHAnsi"/>
        </w:rPr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4C235078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</w:t>
      </w:r>
      <w:r w:rsidRPr="00071149">
        <w:rPr>
          <w:rFonts w:eastAsia="Aptos" w:cstheme="minorHAnsi"/>
        </w:rPr>
        <w:t xml:space="preserve">to </w:t>
      </w:r>
      <w:r w:rsidRPr="00071149">
        <w:rPr>
          <w:rFonts w:eastAsia="Aptos" w:cstheme="minorHAnsi"/>
          <w:b/>
          <w:bCs/>
        </w:rPr>
        <w:t>£</w:t>
      </w:r>
      <w:r w:rsidR="00071149" w:rsidRPr="00071149">
        <w:rPr>
          <w:rFonts w:eastAsia="Aptos" w:cstheme="minorHAnsi"/>
          <w:b/>
          <w:bCs/>
        </w:rPr>
        <w:t>3,</w:t>
      </w:r>
      <w:r w:rsidR="00071149">
        <w:rPr>
          <w:rFonts w:eastAsia="Aptos" w:cstheme="minorHAnsi"/>
          <w:b/>
          <w:bCs/>
        </w:rPr>
        <w:t>000</w:t>
      </w:r>
      <w:r w:rsidRPr="00100236">
        <w:rPr>
          <w:rFonts w:eastAsia="Aptos" w:cstheme="minorHAnsi"/>
        </w:rPr>
        <w:t xml:space="preserve">. We aim to fund projects that run for </w:t>
      </w:r>
      <w:r w:rsidR="00071149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B1D063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</w:t>
      </w:r>
      <w:r w:rsidR="007332D1" w:rsidRPr="00100236">
        <w:rPr>
          <w:rFonts w:eastAsia="Aptos" w:cstheme="minorHAnsi"/>
        </w:rPr>
        <w:t>e.g.</w:t>
      </w:r>
      <w:r w:rsidRPr="00100236">
        <w:rPr>
          <w:rFonts w:eastAsia="Aptos" w:cstheme="minorHAnsi"/>
        </w:rPr>
        <w:t xml:space="preserve">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1010551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0C479D11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A8370D">
        <w:rPr>
          <w:rFonts w:eastAsia="Aptos" w:cstheme="minorHAnsi"/>
          <w:b/>
          <w:bCs/>
        </w:rPr>
        <w:t>1,000</w:t>
      </w:r>
      <w:r w:rsidRPr="00100236">
        <w:rPr>
          <w:rFonts w:eastAsia="Aptos" w:cstheme="minorHAnsi"/>
          <w:b/>
          <w:bCs/>
        </w:rPr>
        <w:t xml:space="preserve"> and </w:t>
      </w:r>
      <w:r w:rsidRPr="00A8370D">
        <w:rPr>
          <w:rFonts w:eastAsia="Aptos" w:cstheme="minorHAnsi"/>
          <w:b/>
          <w:bCs/>
        </w:rPr>
        <w:t>£</w:t>
      </w:r>
      <w:r w:rsidR="00A8370D" w:rsidRPr="00A8370D">
        <w:rPr>
          <w:rFonts w:eastAsia="Aptos" w:cstheme="minorHAnsi"/>
          <w:b/>
          <w:bCs/>
        </w:rPr>
        <w:t>3,000</w:t>
      </w:r>
      <w:r w:rsidRPr="00A8370D">
        <w:rPr>
          <w:rFonts w:eastAsia="Aptos" w:cstheme="minorHAnsi"/>
        </w:rPr>
        <w:t>.</w:t>
      </w:r>
    </w:p>
    <w:p w14:paraId="221724C5" w14:textId="7C366D35" w:rsidR="00801515" w:rsidRPr="00FF5EB9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How to </w:t>
      </w:r>
      <w:r w:rsidRPr="00FF5EB9">
        <w:rPr>
          <w:rFonts w:eastAsia="Aptos" w:cstheme="minorHAnsi"/>
          <w:b/>
          <w:bCs/>
          <w:color w:val="auto"/>
          <w:sz w:val="24"/>
          <w:szCs w:val="24"/>
        </w:rPr>
        <w:t>Apply</w:t>
      </w:r>
    </w:p>
    <w:p w14:paraId="33947689" w14:textId="035921A2" w:rsidR="00801515" w:rsidRPr="00FF5EB9" w:rsidRDefault="61F69B89" w:rsidP="18827AD0">
      <w:pPr>
        <w:spacing w:before="240" w:after="240"/>
        <w:rPr>
          <w:rFonts w:cstheme="minorHAnsi"/>
        </w:rPr>
      </w:pPr>
      <w:r w:rsidRPr="00FF5EB9">
        <w:rPr>
          <w:rFonts w:eastAsia="Aptos" w:cstheme="minorHAnsi"/>
        </w:rPr>
        <w:t>Applications must be submitted using the official application form available at:</w:t>
      </w:r>
    </w:p>
    <w:p w14:paraId="505C72DF" w14:textId="01EFDEA3" w:rsidR="00801515" w:rsidRPr="00FF5EB9" w:rsidRDefault="009651C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FF5EB9">
        <w:rPr>
          <w:rFonts w:eastAsia="Aptos" w:cstheme="minorHAnsi"/>
        </w:rPr>
        <w:t>https://www.esargeant.co.uk/</w:t>
      </w:r>
    </w:p>
    <w:p w14:paraId="251EDA73" w14:textId="0E209EB9" w:rsidR="00801515" w:rsidRPr="00FF5EB9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FF5EB9">
        <w:rPr>
          <w:rFonts w:eastAsia="Aptos" w:cstheme="minorHAnsi"/>
        </w:rPr>
        <w:t xml:space="preserve">Or by emailing </w:t>
      </w:r>
      <w:r w:rsidR="003D4FD5" w:rsidRPr="00FF5EB9">
        <w:t>esargeant.communityfund@funeralpartners.co.uk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FF5EB9">
        <w:rPr>
          <w:rFonts w:eastAsia="Aptos" w:cstheme="minorHAnsi"/>
        </w:rPr>
        <w:t>Submit completed applications</w:t>
      </w:r>
      <w:r w:rsidRPr="00100236">
        <w:rPr>
          <w:rFonts w:eastAsia="Aptos" w:cstheme="minorHAnsi"/>
        </w:rPr>
        <w:t xml:space="preserve">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32C48EC7" w:rsidR="00801515" w:rsidRPr="00D03A69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D03A69">
        <w:rPr>
          <w:rFonts w:eastAsia="Aptos" w:cstheme="minorHAnsi"/>
          <w:color w:val="auto"/>
          <w:sz w:val="24"/>
          <w:szCs w:val="24"/>
        </w:rPr>
        <w:t xml:space="preserve">Please see </w:t>
      </w:r>
      <w:r w:rsidR="00A30557" w:rsidRPr="00D03A69">
        <w:rPr>
          <w:color w:val="auto"/>
          <w:sz w:val="24"/>
          <w:szCs w:val="24"/>
        </w:rPr>
        <w:t>www.esargeant.co.uk</w:t>
      </w:r>
      <w:r w:rsidRPr="00D03A69">
        <w:rPr>
          <w:rFonts w:eastAsia="Aptos" w:cstheme="minorHAnsi"/>
          <w:color w:val="auto"/>
          <w:sz w:val="24"/>
          <w:szCs w:val="24"/>
        </w:rPr>
        <w:t xml:space="preserve"> 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035D7888" w:rsidR="00801515" w:rsidRPr="00100236" w:rsidRDefault="00C33C60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r w:rsidR="002D7E95" w:rsidRPr="002D7E95">
        <w:rPr>
          <w:rFonts w:cstheme="minorHAnsi"/>
        </w:rPr>
        <w:t>www.esargeant.co.uk</w:t>
      </w: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1149"/>
    <w:rsid w:val="00072715"/>
    <w:rsid w:val="00093C20"/>
    <w:rsid w:val="00100236"/>
    <w:rsid w:val="001045E5"/>
    <w:rsid w:val="001F2B2E"/>
    <w:rsid w:val="002165C6"/>
    <w:rsid w:val="00267733"/>
    <w:rsid w:val="002927D2"/>
    <w:rsid w:val="002D7E95"/>
    <w:rsid w:val="002E41EC"/>
    <w:rsid w:val="00316B58"/>
    <w:rsid w:val="003A2542"/>
    <w:rsid w:val="003D4FD5"/>
    <w:rsid w:val="003E1E53"/>
    <w:rsid w:val="003E774D"/>
    <w:rsid w:val="004376E1"/>
    <w:rsid w:val="00453947"/>
    <w:rsid w:val="00714F3B"/>
    <w:rsid w:val="007332D1"/>
    <w:rsid w:val="00790CB0"/>
    <w:rsid w:val="007B3B48"/>
    <w:rsid w:val="00801515"/>
    <w:rsid w:val="0080529A"/>
    <w:rsid w:val="008370BE"/>
    <w:rsid w:val="00894C54"/>
    <w:rsid w:val="008E626B"/>
    <w:rsid w:val="00947C8A"/>
    <w:rsid w:val="009651C9"/>
    <w:rsid w:val="009816CF"/>
    <w:rsid w:val="00A30557"/>
    <w:rsid w:val="00A8370D"/>
    <w:rsid w:val="00AB01DE"/>
    <w:rsid w:val="00B25C7F"/>
    <w:rsid w:val="00C33C60"/>
    <w:rsid w:val="00CD2278"/>
    <w:rsid w:val="00D03A69"/>
    <w:rsid w:val="00D31173"/>
    <w:rsid w:val="00DF6735"/>
    <w:rsid w:val="00E33607"/>
    <w:rsid w:val="00F32B21"/>
    <w:rsid w:val="00FF0601"/>
    <w:rsid w:val="00FF5EB9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D841E6BF4B428C98DC2BB56259A9" ma:contentTypeVersion="12" ma:contentTypeDescription="Create a new document." ma:contentTypeScope="" ma:versionID="bc706e87a9be04c8acc6adb924522e5c">
  <xsd:schema xmlns:xsd="http://www.w3.org/2001/XMLSchema" xmlns:xs="http://www.w3.org/2001/XMLSchema" xmlns:p="http://schemas.microsoft.com/office/2006/metadata/properties" xmlns:ns2="7ab3d2e0-c03d-4bc5-ac59-94c420159a6f" targetNamespace="http://schemas.microsoft.com/office/2006/metadata/properties" ma:root="true" ma:fieldsID="ca7fd17c4636a768ea2b11f27e866867" ns2:_="">
    <xsd:import namespace="7ab3d2e0-c03d-4bc5-ac59-94c420159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d2e0-c03d-4bc5-ac59-94c420159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3d2e0-c03d-4bc5-ac59-94c420159a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74A71-6C39-4298-84FE-41D7CDF1C0A9}"/>
</file>

<file path=customXml/itemProps2.xml><?xml version="1.0" encoding="utf-8"?>
<ds:datastoreItem xmlns:ds="http://schemas.openxmlformats.org/officeDocument/2006/customXml" ds:itemID="{26C2F1BA-2BF7-4D78-9C5C-FE52D3E5264E}"/>
</file>

<file path=customXml/itemProps3.xml><?xml version="1.0" encoding="utf-8"?>
<ds:datastoreItem xmlns:ds="http://schemas.openxmlformats.org/officeDocument/2006/customXml" ds:itemID="{717BB22E-7DE9-4C42-AD11-24991A18B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651</Words>
  <Characters>3403</Characters>
  <Application>Microsoft Office Word</Application>
  <DocSecurity>0</DocSecurity>
  <Lines>154</Lines>
  <Paragraphs>52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Adi Sedgwick</cp:lastModifiedBy>
  <cp:revision>22</cp:revision>
  <dcterms:created xsi:type="dcterms:W3CDTF">2026-01-23T12:37:00Z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0x01010088B5D841E6BF4B428C98DC2BB56259A9</vt:lpwstr>
  </property>
</Properties>
</file>